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6BF60" w14:textId="77777777" w:rsidR="00810B41" w:rsidRPr="00716E5C" w:rsidRDefault="00810B41" w:rsidP="00810B41">
      <w:pPr>
        <w:jc w:val="center"/>
        <w:rPr>
          <w:rFonts w:ascii="Times New Roman" w:hAnsi="Times New Roman" w:cs="Times New Roman"/>
          <w:b/>
        </w:rPr>
      </w:pPr>
      <w:r w:rsidRPr="00716E5C">
        <w:rPr>
          <w:rFonts w:ascii="Times New Roman" w:eastAsia="Times New Roman" w:hAnsi="Times New Roman" w:cs="Times New Roman"/>
          <w:b/>
          <w:lang w:bidi="en-US"/>
        </w:rPr>
        <w:t xml:space="preserve">INTERNATIONAL ANNOUNCEMENT </w:t>
      </w:r>
      <w:r w:rsidRPr="00716E5C">
        <w:rPr>
          <w:rFonts w:ascii="Times New Roman" w:eastAsia="Times New Roman" w:hAnsi="Times New Roman" w:cs="Times New Roman"/>
          <w:b/>
          <w:lang w:bidi="en-US"/>
        </w:rPr>
        <w:br/>
        <w:t>“COMPLY OR EXPLAIN”</w:t>
      </w:r>
    </w:p>
    <w:p w14:paraId="77F87C1F" w14:textId="0BAAA540" w:rsidR="00810B41" w:rsidRDefault="0091251F" w:rsidP="0091251F">
      <w:pPr>
        <w:spacing w:after="0"/>
        <w:ind w:firstLine="567"/>
        <w:jc w:val="both"/>
        <w:rPr>
          <w:rFonts w:ascii="Times New Roman" w:hAnsi="Times New Roman" w:cs="Times New Roman"/>
        </w:rPr>
      </w:pPr>
      <w:r>
        <w:rPr>
          <w:rFonts w:ascii="Times New Roman" w:eastAsia="Times New Roman" w:hAnsi="Times New Roman" w:cs="Times New Roman"/>
          <w:lang w:val="uz-Cyrl-UZ" w:bidi="en-US"/>
        </w:rPr>
        <w:t>“</w:t>
      </w:r>
      <w:r w:rsidR="00810B41">
        <w:rPr>
          <w:rFonts w:ascii="Times New Roman" w:eastAsia="Times New Roman" w:hAnsi="Times New Roman" w:cs="Times New Roman"/>
          <w:lang w:bidi="en-US"/>
        </w:rPr>
        <w:t>Uzbek Metallurgical Plant</w:t>
      </w:r>
      <w:r>
        <w:rPr>
          <w:rFonts w:ascii="Times New Roman" w:eastAsia="Times New Roman" w:hAnsi="Times New Roman" w:cs="Times New Roman"/>
          <w:lang w:val="uz-Cyrl-UZ" w:bidi="en-US"/>
        </w:rPr>
        <w:t>”</w:t>
      </w:r>
      <w:r w:rsidR="00810B41">
        <w:rPr>
          <w:rFonts w:ascii="Times New Roman" w:eastAsia="Times New Roman" w:hAnsi="Times New Roman" w:cs="Times New Roman"/>
          <w:lang w:bidi="en-US"/>
        </w:rPr>
        <w:t xml:space="preserve"> Joint-Stock Company (hereinafter referred to as </w:t>
      </w:r>
      <w:proofErr w:type="spellStart"/>
      <w:r w:rsidR="00810B41">
        <w:rPr>
          <w:rFonts w:ascii="Times New Roman" w:eastAsia="Times New Roman" w:hAnsi="Times New Roman" w:cs="Times New Roman"/>
          <w:lang w:bidi="en-US"/>
        </w:rPr>
        <w:t>Uzmetkombinat</w:t>
      </w:r>
      <w:proofErr w:type="spellEnd"/>
      <w:r w:rsidR="00810B41">
        <w:rPr>
          <w:rFonts w:ascii="Times New Roman" w:eastAsia="Times New Roman" w:hAnsi="Times New Roman" w:cs="Times New Roman"/>
          <w:lang w:bidi="en-US"/>
        </w:rPr>
        <w:t xml:space="preserve"> JSC), in accordance with the decision of the General Meeting </w:t>
      </w:r>
      <w:r>
        <w:rPr>
          <w:rFonts w:ascii="Times New Roman" w:eastAsia="Times New Roman" w:hAnsi="Times New Roman" w:cs="Times New Roman"/>
          <w:lang w:bidi="en-US"/>
        </w:rPr>
        <w:br/>
      </w:r>
      <w:r w:rsidR="00810B41">
        <w:rPr>
          <w:rFonts w:ascii="Times New Roman" w:eastAsia="Times New Roman" w:hAnsi="Times New Roman" w:cs="Times New Roman"/>
          <w:lang w:bidi="en-US"/>
        </w:rPr>
        <w:t xml:space="preserve">of Shareholders dated June 25, 2016, assumed an obligation starting from June 25, 2016 In 2016, comply with the Corporate Governance Code (hereinafter referred </w:t>
      </w:r>
      <w:r>
        <w:rPr>
          <w:rFonts w:ascii="Times New Roman" w:eastAsia="Times New Roman" w:hAnsi="Times New Roman" w:cs="Times New Roman"/>
          <w:lang w:bidi="en-US"/>
        </w:rPr>
        <w:br/>
      </w:r>
      <w:r w:rsidR="00810B41">
        <w:rPr>
          <w:rFonts w:ascii="Times New Roman" w:eastAsia="Times New Roman" w:hAnsi="Times New Roman" w:cs="Times New Roman"/>
          <w:lang w:bidi="en-US"/>
        </w:rPr>
        <w:t xml:space="preserve">to as the Code) approved by the minutes of the meeting of the Commission on Improving the Efficiency of Joint Stock Companies and Improving the corporate governance No. </w:t>
      </w:r>
      <w:proofErr w:type="gramStart"/>
      <w:r w:rsidR="00810B41">
        <w:rPr>
          <w:rFonts w:ascii="Times New Roman" w:eastAsia="Times New Roman" w:hAnsi="Times New Roman" w:cs="Times New Roman"/>
          <w:lang w:bidi="en-US"/>
        </w:rPr>
        <w:t>9</w:t>
      </w:r>
      <w:proofErr w:type="gramEnd"/>
      <w:r w:rsidR="00810B41">
        <w:rPr>
          <w:rFonts w:ascii="Times New Roman" w:eastAsia="Times New Roman" w:hAnsi="Times New Roman" w:cs="Times New Roman"/>
          <w:lang w:bidi="en-US"/>
        </w:rPr>
        <w:t xml:space="preserve"> dated December 31, 2015, demonstrating its commitment to honest and transparent business conduct.</w:t>
      </w:r>
    </w:p>
    <w:p w14:paraId="12BE9E96" w14:textId="21327564" w:rsidR="00810B41" w:rsidRDefault="00810B41" w:rsidP="0091251F">
      <w:pPr>
        <w:spacing w:after="0"/>
        <w:ind w:firstLine="567"/>
        <w:jc w:val="both"/>
        <w:rPr>
          <w:rFonts w:ascii="Times New Roman" w:hAnsi="Times New Roman" w:cs="Times New Roman"/>
        </w:rPr>
      </w:pPr>
      <w:proofErr w:type="spellStart"/>
      <w:proofErr w:type="gramStart"/>
      <w:r>
        <w:rPr>
          <w:rFonts w:ascii="Times New Roman" w:eastAsia="Times New Roman" w:hAnsi="Times New Roman" w:cs="Times New Roman"/>
          <w:lang w:bidi="en-US"/>
        </w:rPr>
        <w:t>Uzmetkombinat</w:t>
      </w:r>
      <w:proofErr w:type="spellEnd"/>
      <w:r>
        <w:rPr>
          <w:rFonts w:ascii="Times New Roman" w:eastAsia="Times New Roman" w:hAnsi="Times New Roman" w:cs="Times New Roman"/>
          <w:lang w:bidi="en-US"/>
        </w:rPr>
        <w:t xml:space="preserve"> JSC carried out its activities in compliance with the recommendations of the Code and intends to comply with them in the future.</w:t>
      </w:r>
      <w:proofErr w:type="gramEnd"/>
      <w:r>
        <w:rPr>
          <w:rFonts w:ascii="Times New Roman" w:eastAsia="Times New Roman" w:hAnsi="Times New Roman" w:cs="Times New Roman"/>
          <w:lang w:bidi="en-US"/>
        </w:rPr>
        <w:t xml:space="preserve"> </w:t>
      </w:r>
    </w:p>
    <w:p w14:paraId="35D6A01B" w14:textId="27CE3DFE" w:rsidR="00810B41" w:rsidRDefault="00810B41" w:rsidP="0091251F">
      <w:pPr>
        <w:ind w:firstLine="567"/>
        <w:jc w:val="both"/>
        <w:rPr>
          <w:rFonts w:ascii="Times New Roman" w:hAnsi="Times New Roman" w:cs="Times New Roman"/>
        </w:rPr>
      </w:pPr>
      <w:r w:rsidRPr="00810B41">
        <w:rPr>
          <w:rFonts w:ascii="Times New Roman" w:eastAsia="Times New Roman" w:hAnsi="Times New Roman" w:cs="Times New Roman"/>
          <w:lang w:bidi="en-US"/>
        </w:rPr>
        <w:t xml:space="preserve">In accordance with paragraph 11 of the Code, if it is impossible to comply with certain recommendations of the Code, the company discloses in detail </w:t>
      </w:r>
      <w:r w:rsidRPr="00810B41">
        <w:rPr>
          <w:rFonts w:ascii="Times New Roman" w:eastAsia="Times New Roman" w:hAnsi="Times New Roman" w:cs="Times New Roman"/>
          <w:lang w:bidi="en-US"/>
        </w:rPr>
        <w:br/>
        <w:t xml:space="preserve">its causes, following </w:t>
      </w:r>
      <w:r w:rsidRPr="00810B41">
        <w:rPr>
          <w:rFonts w:ascii="Times New Roman" w:eastAsia="Times New Roman" w:hAnsi="Times New Roman" w:cs="Times New Roman"/>
          <w:b/>
          <w:lang w:bidi="en-US"/>
        </w:rPr>
        <w:t>the international principle of “comply or explain”</w:t>
      </w:r>
      <w:r w:rsidRPr="00810B41">
        <w:rPr>
          <w:rFonts w:ascii="Times New Roman" w:eastAsia="Times New Roman" w:hAnsi="Times New Roman" w:cs="Times New Roman"/>
          <w:lang w:bidi="en-US"/>
        </w:rPr>
        <w:t>. In the reporting period, the recommendations of the Code were followed with some exceptions:</w:t>
      </w:r>
    </w:p>
    <w:tbl>
      <w:tblPr>
        <w:tblStyle w:val="a6"/>
        <w:tblW w:w="14879" w:type="dxa"/>
        <w:tblLook w:val="04A0" w:firstRow="1" w:lastRow="0" w:firstColumn="1" w:lastColumn="0" w:noHBand="0" w:noVBand="1"/>
      </w:tblPr>
      <w:tblGrid>
        <w:gridCol w:w="2830"/>
        <w:gridCol w:w="4253"/>
        <w:gridCol w:w="7796"/>
      </w:tblGrid>
      <w:tr w:rsidR="00716E5C" w:rsidRPr="00716E5C" w14:paraId="28FA947D" w14:textId="77777777" w:rsidTr="0091251F">
        <w:tc>
          <w:tcPr>
            <w:tcW w:w="2830" w:type="dxa"/>
            <w:vAlign w:val="center"/>
          </w:tcPr>
          <w:p w14:paraId="0D23D4E2" w14:textId="64D6FC3F" w:rsidR="00716E5C" w:rsidRPr="00716E5C" w:rsidRDefault="00716E5C" w:rsidP="0091251F">
            <w:pPr>
              <w:jc w:val="center"/>
              <w:rPr>
                <w:rFonts w:ascii="Times New Roman" w:hAnsi="Times New Roman" w:cs="Times New Roman"/>
                <w:b/>
              </w:rPr>
            </w:pPr>
            <w:r w:rsidRPr="00716E5C">
              <w:rPr>
                <w:rFonts w:ascii="Times New Roman" w:eastAsia="Times New Roman" w:hAnsi="Times New Roman" w:cs="Times New Roman"/>
                <w:b/>
                <w:lang w:bidi="en-US"/>
              </w:rPr>
              <w:t xml:space="preserve">Item No. </w:t>
            </w:r>
            <w:r w:rsidR="00561326" w:rsidRPr="00716E5C">
              <w:rPr>
                <w:rFonts w:ascii="Times New Roman" w:eastAsia="Times New Roman" w:hAnsi="Times New Roman" w:cs="Times New Roman"/>
                <w:b/>
                <w:lang w:bidi="en-US"/>
              </w:rPr>
              <w:t xml:space="preserve">Code </w:t>
            </w:r>
          </w:p>
        </w:tc>
        <w:tc>
          <w:tcPr>
            <w:tcW w:w="4253" w:type="dxa"/>
            <w:vAlign w:val="center"/>
          </w:tcPr>
          <w:p w14:paraId="56D42DF1" w14:textId="2E0661DA" w:rsidR="00716E5C" w:rsidRPr="00716E5C" w:rsidRDefault="00716E5C" w:rsidP="0091251F">
            <w:pPr>
              <w:jc w:val="center"/>
              <w:rPr>
                <w:rFonts w:ascii="Times New Roman" w:hAnsi="Times New Roman" w:cs="Times New Roman"/>
                <w:b/>
              </w:rPr>
            </w:pPr>
            <w:r w:rsidRPr="00716E5C">
              <w:rPr>
                <w:rFonts w:ascii="Times New Roman" w:eastAsia="Times New Roman" w:hAnsi="Times New Roman" w:cs="Times New Roman"/>
                <w:b/>
                <w:lang w:bidi="en-US"/>
              </w:rPr>
              <w:t>Principles/guidelines</w:t>
            </w:r>
            <w:r w:rsidR="0091251F">
              <w:rPr>
                <w:rFonts w:ascii="Times New Roman" w:eastAsia="Times New Roman" w:hAnsi="Times New Roman" w:cs="Times New Roman"/>
                <w:b/>
                <w:lang w:val="uz-Cyrl-UZ" w:bidi="en-US"/>
              </w:rPr>
              <w:t xml:space="preserve"> </w:t>
            </w:r>
            <w:r w:rsidRPr="00716E5C">
              <w:rPr>
                <w:rFonts w:ascii="Times New Roman" w:eastAsia="Times New Roman" w:hAnsi="Times New Roman" w:cs="Times New Roman"/>
                <w:b/>
                <w:lang w:bidi="en-US"/>
              </w:rPr>
              <w:t xml:space="preserve">Code </w:t>
            </w:r>
          </w:p>
        </w:tc>
        <w:tc>
          <w:tcPr>
            <w:tcW w:w="7796" w:type="dxa"/>
            <w:vAlign w:val="center"/>
          </w:tcPr>
          <w:p w14:paraId="24F36872" w14:textId="77777777" w:rsidR="00716E5C" w:rsidRPr="00716E5C" w:rsidRDefault="00716E5C" w:rsidP="00716E5C">
            <w:pPr>
              <w:jc w:val="center"/>
              <w:rPr>
                <w:rFonts w:ascii="Times New Roman" w:hAnsi="Times New Roman" w:cs="Times New Roman"/>
                <w:b/>
              </w:rPr>
            </w:pPr>
            <w:r>
              <w:rPr>
                <w:rFonts w:ascii="Times New Roman" w:eastAsia="Times New Roman" w:hAnsi="Times New Roman" w:cs="Times New Roman"/>
                <w:b/>
                <w:lang w:bidi="en-US"/>
              </w:rPr>
              <w:t>An explanation</w:t>
            </w:r>
          </w:p>
        </w:tc>
      </w:tr>
      <w:tr w:rsidR="00716E5C" w:rsidRPr="00716E5C" w14:paraId="5880CAD3" w14:textId="77777777" w:rsidTr="0091251F">
        <w:tc>
          <w:tcPr>
            <w:tcW w:w="2830" w:type="dxa"/>
          </w:tcPr>
          <w:p w14:paraId="301F464B" w14:textId="6FD5B467" w:rsidR="00716E5C" w:rsidRPr="00716E5C" w:rsidRDefault="0091251F" w:rsidP="006D7104">
            <w:pPr>
              <w:jc w:val="center"/>
              <w:rPr>
                <w:rFonts w:ascii="Times New Roman" w:hAnsi="Times New Roman" w:cs="Times New Roman"/>
                <w:b/>
              </w:rPr>
            </w:pPr>
            <w:r>
              <w:rPr>
                <w:rFonts w:ascii="Times New Roman" w:eastAsia="Times New Roman" w:hAnsi="Times New Roman" w:cs="Times New Roman"/>
                <w:b/>
                <w:lang w:bidi="en-US"/>
              </w:rPr>
              <w:t xml:space="preserve">Chapter III, paragraph 18 </w:t>
            </w:r>
            <w:r w:rsidR="00716E5C">
              <w:rPr>
                <w:rFonts w:ascii="Times New Roman" w:eastAsia="Times New Roman" w:hAnsi="Times New Roman" w:cs="Times New Roman"/>
                <w:b/>
                <w:lang w:bidi="en-US"/>
              </w:rPr>
              <w:t>“Implementation of effective internal control mechanisms”</w:t>
            </w:r>
          </w:p>
        </w:tc>
        <w:tc>
          <w:tcPr>
            <w:tcW w:w="4253" w:type="dxa"/>
          </w:tcPr>
          <w:p w14:paraId="3AD87EA4" w14:textId="0417FD12" w:rsidR="00716E5C" w:rsidRPr="00716E5C" w:rsidRDefault="00716E5C" w:rsidP="00716E5C">
            <w:pPr>
              <w:jc w:val="both"/>
              <w:rPr>
                <w:rFonts w:ascii="Times New Roman" w:hAnsi="Times New Roman" w:cs="Times New Roman"/>
                <w:b/>
              </w:rPr>
            </w:pPr>
            <w:r>
              <w:rPr>
                <w:rFonts w:ascii="Times New Roman" w:eastAsia="Times New Roman" w:hAnsi="Times New Roman" w:cs="Times New Roman"/>
                <w:lang w:bidi="en-US"/>
              </w:rPr>
              <w:t>Joint-stock companies include in the Supervisory Board at least one independent member</w:t>
            </w:r>
            <w:r w:rsidR="0091251F">
              <w:rPr>
                <w:rFonts w:ascii="Times New Roman" w:eastAsia="Times New Roman" w:hAnsi="Times New Roman" w:cs="Times New Roman"/>
                <w:lang w:bidi="en-US"/>
              </w:rPr>
              <w:t xml:space="preserve"> (but not less than 15% of the </w:t>
            </w:r>
            <w:bookmarkStart w:id="0" w:name="_GoBack"/>
            <w:bookmarkEnd w:id="0"/>
            <w:r>
              <w:rPr>
                <w:rFonts w:ascii="Times New Roman" w:eastAsia="Times New Roman" w:hAnsi="Times New Roman" w:cs="Times New Roman"/>
                <w:lang w:bidi="en-US"/>
              </w:rPr>
              <w:t>by its charter, the number of members of the Supervisory Board).</w:t>
            </w:r>
          </w:p>
        </w:tc>
        <w:tc>
          <w:tcPr>
            <w:tcW w:w="7796" w:type="dxa"/>
          </w:tcPr>
          <w:p w14:paraId="1E7F39CA" w14:textId="04E6CFEA" w:rsidR="00716E5C" w:rsidRDefault="00716E5C" w:rsidP="0091251F">
            <w:pPr>
              <w:pStyle w:val="a5"/>
              <w:spacing w:after="160"/>
              <w:ind w:left="33" w:firstLine="426"/>
              <w:jc w:val="both"/>
              <w:rPr>
                <w:rFonts w:ascii="Times New Roman" w:hAnsi="Times New Roman" w:cs="Times New Roman"/>
              </w:rPr>
            </w:pPr>
            <w:r>
              <w:rPr>
                <w:rFonts w:ascii="Times New Roman" w:eastAsia="Times New Roman" w:hAnsi="Times New Roman" w:cs="Times New Roman"/>
                <w:lang w:bidi="en-US"/>
              </w:rPr>
              <w:t>In accordance with Article 63 of the Law of the Repu</w:t>
            </w:r>
            <w:r w:rsidR="0091251F">
              <w:rPr>
                <w:rFonts w:ascii="Times New Roman" w:eastAsia="Times New Roman" w:hAnsi="Times New Roman" w:cs="Times New Roman"/>
                <w:lang w:bidi="en-US"/>
              </w:rPr>
              <w:t xml:space="preserve">blic of Uzbekistan dated May 6, 2014 No. </w:t>
            </w:r>
            <w:r w:rsidR="0091251F">
              <w:rPr>
                <w:rFonts w:ascii="Times New Roman" w:eastAsia="Times New Roman" w:hAnsi="Times New Roman" w:cs="Times New Roman"/>
                <w:lang w:val="uz-Latn-UZ" w:bidi="en-US"/>
              </w:rPr>
              <w:t>L</w:t>
            </w:r>
            <w:r>
              <w:rPr>
                <w:rFonts w:ascii="Times New Roman" w:eastAsia="Times New Roman" w:hAnsi="Times New Roman" w:cs="Times New Roman"/>
                <w:lang w:bidi="en-US"/>
              </w:rPr>
              <w:t>RU-370 “</w:t>
            </w:r>
            <w:r w:rsidR="0091251F" w:rsidRPr="0091251F">
              <w:rPr>
                <w:rFonts w:ascii="Times New Roman" w:eastAsia="Times New Roman" w:hAnsi="Times New Roman" w:cs="Times New Roman"/>
                <w:lang w:bidi="en-US"/>
              </w:rPr>
              <w:t>On joint stock companies and protection of shareholders’ rights</w:t>
            </w:r>
            <w:r w:rsidR="0091251F">
              <w:rPr>
                <w:rFonts w:ascii="Times New Roman" w:eastAsia="Times New Roman" w:hAnsi="Times New Roman" w:cs="Times New Roman"/>
                <w:lang w:bidi="en-US"/>
              </w:rPr>
              <w:t>”, shareholders</w:t>
            </w:r>
            <w:r>
              <w:rPr>
                <w:rFonts w:ascii="Times New Roman" w:eastAsia="Times New Roman" w:hAnsi="Times New Roman" w:cs="Times New Roman"/>
                <w:lang w:bidi="en-US"/>
              </w:rPr>
              <w:t xml:space="preserve"> who t</w:t>
            </w:r>
            <w:r w:rsidR="0091251F">
              <w:rPr>
                <w:rFonts w:ascii="Times New Roman" w:eastAsia="Times New Roman" w:hAnsi="Times New Roman" w:cs="Times New Roman"/>
                <w:lang w:bidi="en-US"/>
              </w:rPr>
              <w:t xml:space="preserve">ogether are owners of at least </w:t>
            </w:r>
            <w:r>
              <w:rPr>
                <w:rFonts w:ascii="Times New Roman" w:eastAsia="Times New Roman" w:hAnsi="Times New Roman" w:cs="Times New Roman"/>
                <w:lang w:bidi="en-US"/>
              </w:rPr>
              <w:t xml:space="preserve">than </w:t>
            </w:r>
            <w:r>
              <w:rPr>
                <w:rFonts w:ascii="Times New Roman" w:eastAsia="Times New Roman" w:hAnsi="Times New Roman" w:cs="Times New Roman"/>
                <w:u w:val="single"/>
                <w:lang w:bidi="en-US"/>
              </w:rPr>
              <w:t>one percent of the voting shares of</w:t>
            </w:r>
            <w:r>
              <w:rPr>
                <w:rFonts w:ascii="Times New Roman" w:eastAsia="Times New Roman" w:hAnsi="Times New Roman" w:cs="Times New Roman"/>
                <w:lang w:bidi="en-US"/>
              </w:rPr>
              <w:t xml:space="preserve"> the company, no later than thirty days after the end of the company's financial </w:t>
            </w:r>
            <w:r w:rsidR="0091251F">
              <w:rPr>
                <w:rFonts w:ascii="Times New Roman" w:eastAsia="Times New Roman" w:hAnsi="Times New Roman" w:cs="Times New Roman"/>
                <w:lang w:bidi="en-US"/>
              </w:rPr>
              <w:t xml:space="preserve">year, if the company's charter </w:t>
            </w:r>
            <w:r>
              <w:rPr>
                <w:rFonts w:ascii="Times New Roman" w:eastAsia="Times New Roman" w:hAnsi="Times New Roman" w:cs="Times New Roman"/>
                <w:lang w:bidi="en-US"/>
              </w:rPr>
              <w:t>no later deadline has been set, has the rig</w:t>
            </w:r>
            <w:r w:rsidR="0091251F">
              <w:rPr>
                <w:rFonts w:ascii="Times New Roman" w:eastAsia="Times New Roman" w:hAnsi="Times New Roman" w:cs="Times New Roman"/>
                <w:lang w:bidi="en-US"/>
              </w:rPr>
              <w:t xml:space="preserve">ht to put issues on the agenda </w:t>
            </w:r>
            <w:r>
              <w:rPr>
                <w:rFonts w:ascii="Times New Roman" w:eastAsia="Times New Roman" w:hAnsi="Times New Roman" w:cs="Times New Roman"/>
                <w:lang w:bidi="en-US"/>
              </w:rPr>
              <w:t>on the day of the annual general meeting of shareh</w:t>
            </w:r>
            <w:r w:rsidR="0091251F">
              <w:rPr>
                <w:rFonts w:ascii="Times New Roman" w:eastAsia="Times New Roman" w:hAnsi="Times New Roman" w:cs="Times New Roman"/>
                <w:lang w:bidi="en-US"/>
              </w:rPr>
              <w:t xml:space="preserve">olders and nominate candidates </w:t>
            </w:r>
            <w:r>
              <w:rPr>
                <w:rFonts w:ascii="Times New Roman" w:eastAsia="Times New Roman" w:hAnsi="Times New Roman" w:cs="Times New Roman"/>
                <w:lang w:bidi="en-US"/>
              </w:rPr>
              <w:t>to the supervisory board of the company, the number of which cannot exceed the number of members of this body.</w:t>
            </w:r>
          </w:p>
          <w:p w14:paraId="11D8B68E" w14:textId="44B1154E" w:rsidR="00396FD4" w:rsidRDefault="00396FD4" w:rsidP="00716E5C">
            <w:pPr>
              <w:pStyle w:val="a5"/>
              <w:spacing w:after="160"/>
              <w:ind w:left="33" w:firstLine="426"/>
              <w:jc w:val="both"/>
              <w:rPr>
                <w:rFonts w:ascii="Times New Roman" w:hAnsi="Times New Roman" w:cs="Times New Roman"/>
              </w:rPr>
            </w:pPr>
            <w:r w:rsidRPr="00396FD4">
              <w:rPr>
                <w:rFonts w:ascii="Times New Roman" w:eastAsia="Times New Roman" w:hAnsi="Times New Roman" w:cs="Times New Roman"/>
                <w:lang w:bidi="en-US"/>
              </w:rPr>
              <w:t xml:space="preserve">Member of the Supervisory Board of a company whose shares are included </w:t>
            </w:r>
            <w:r w:rsidRPr="00396FD4">
              <w:rPr>
                <w:rFonts w:ascii="Times New Roman" w:eastAsia="Times New Roman" w:hAnsi="Times New Roman" w:cs="Times New Roman"/>
                <w:lang w:bidi="en-US"/>
              </w:rPr>
              <w:br/>
              <w:t>there must be at least one independent member on the exchange quotation list of the stock exchange, who can be re-elected annuall</w:t>
            </w:r>
            <w:r w:rsidR="0091251F">
              <w:rPr>
                <w:rFonts w:ascii="Times New Roman" w:eastAsia="Times New Roman" w:hAnsi="Times New Roman" w:cs="Times New Roman"/>
                <w:lang w:bidi="en-US"/>
              </w:rPr>
              <w:t xml:space="preserve">y. At the same time </w:t>
            </w:r>
            <w:r w:rsidRPr="00396FD4">
              <w:rPr>
                <w:rFonts w:ascii="Times New Roman" w:eastAsia="Times New Roman" w:hAnsi="Times New Roman" w:cs="Times New Roman"/>
                <w:lang w:bidi="en-US"/>
              </w:rPr>
              <w:t>in companies with a predominant share of the state and (or) an economic association, the nomination and voting for an independent member of the Supervisory Board are carried out by representatives of the state and (or) an economic association.</w:t>
            </w:r>
          </w:p>
          <w:p w14:paraId="41E01398" w14:textId="77777777" w:rsidR="00561326" w:rsidRDefault="00561326" w:rsidP="00561326">
            <w:pPr>
              <w:pStyle w:val="a5"/>
              <w:spacing w:after="160"/>
              <w:ind w:left="33" w:firstLine="426"/>
              <w:jc w:val="both"/>
              <w:rPr>
                <w:rFonts w:ascii="Times New Roman" w:hAnsi="Times New Roman" w:cs="Times New Roman"/>
              </w:rPr>
            </w:pPr>
            <w:r w:rsidRPr="00561326">
              <w:rPr>
                <w:rFonts w:ascii="Times New Roman" w:eastAsia="Times New Roman" w:hAnsi="Times New Roman" w:cs="Times New Roman"/>
                <w:lang w:bidi="en-US"/>
              </w:rPr>
              <w:t>The Regulation on the Supervisory Board in force at Uzmetkombinat JSC provides for the possibility of electing independent members to the Supervisory Board with the definition of the criteria provided for in Corporate Governance Code.</w:t>
            </w:r>
          </w:p>
          <w:p w14:paraId="1224D86C" w14:textId="5028E20E" w:rsidR="00716E5C" w:rsidRDefault="00716E5C" w:rsidP="00561326">
            <w:pPr>
              <w:pStyle w:val="a5"/>
              <w:spacing w:after="160"/>
              <w:ind w:left="33" w:firstLine="426"/>
              <w:jc w:val="both"/>
              <w:rPr>
                <w:rFonts w:ascii="Times New Roman" w:hAnsi="Times New Roman" w:cs="Times New Roman"/>
              </w:rPr>
            </w:pPr>
            <w:r>
              <w:rPr>
                <w:rFonts w:ascii="Times New Roman" w:eastAsia="Times New Roman" w:hAnsi="Times New Roman" w:cs="Times New Roman"/>
                <w:lang w:bidi="en-US"/>
              </w:rPr>
              <w:t>To date, on the part of a major shareholder</w:t>
            </w:r>
            <w:r w:rsidR="00D15BED">
              <w:rPr>
                <w:rFonts w:ascii="Times New Roman" w:eastAsia="Times New Roman" w:hAnsi="Times New Roman" w:cs="Times New Roman"/>
                <w:lang w:bidi="en-US"/>
              </w:rPr>
              <w:t>s</w:t>
            </w:r>
            <w:r>
              <w:rPr>
                <w:rFonts w:ascii="Times New Roman" w:eastAsia="Times New Roman" w:hAnsi="Times New Roman" w:cs="Times New Roman"/>
                <w:lang w:bidi="en-US"/>
              </w:rPr>
              <w:t xml:space="preserve">, namely the </w:t>
            </w:r>
            <w:r w:rsidR="00D15BED" w:rsidRPr="00D15BED">
              <w:rPr>
                <w:rFonts w:ascii="Times New Roman" w:eastAsia="Times New Roman" w:hAnsi="Times New Roman" w:cs="Times New Roman"/>
                <w:lang w:bidi="en-US"/>
              </w:rPr>
              <w:t>Ministr</w:t>
            </w:r>
            <w:r w:rsidR="0091251F">
              <w:rPr>
                <w:rFonts w:ascii="Times New Roman" w:eastAsia="Times New Roman" w:hAnsi="Times New Roman" w:cs="Times New Roman"/>
                <w:lang w:bidi="en-US"/>
              </w:rPr>
              <w:t>y of Economy and finance of the</w:t>
            </w:r>
            <w:r w:rsidR="00D15BED" w:rsidRPr="00D15BED">
              <w:rPr>
                <w:rFonts w:ascii="Times New Roman" w:eastAsia="Times New Roman" w:hAnsi="Times New Roman" w:cs="Times New Roman"/>
                <w:lang w:bidi="en-US"/>
              </w:rPr>
              <w:t xml:space="preserve"> Republic of Uzbekistan</w:t>
            </w:r>
            <w:r>
              <w:rPr>
                <w:rFonts w:ascii="Times New Roman" w:eastAsia="Times New Roman" w:hAnsi="Times New Roman" w:cs="Times New Roman"/>
                <w:lang w:bidi="en-US"/>
              </w:rPr>
              <w:t xml:space="preserve">, which owns </w:t>
            </w:r>
            <w:r w:rsidR="00D15BED" w:rsidRPr="00D15BED">
              <w:rPr>
                <w:rFonts w:ascii="Times New Roman" w:eastAsia="Times New Roman" w:hAnsi="Times New Roman" w:cs="Times New Roman"/>
                <w:lang w:bidi="en-US"/>
              </w:rPr>
              <w:t>54</w:t>
            </w:r>
            <w:proofErr w:type="gramStart"/>
            <w:r w:rsidR="00D15BED" w:rsidRPr="00D15BED">
              <w:rPr>
                <w:rFonts w:ascii="Times New Roman" w:eastAsia="Times New Roman" w:hAnsi="Times New Roman" w:cs="Times New Roman"/>
                <w:lang w:bidi="en-US"/>
              </w:rPr>
              <w:t>,24</w:t>
            </w:r>
            <w:proofErr w:type="gramEnd"/>
            <w:r>
              <w:rPr>
                <w:rFonts w:ascii="Times New Roman" w:eastAsia="Times New Roman" w:hAnsi="Times New Roman" w:cs="Times New Roman"/>
                <w:lang w:bidi="en-US"/>
              </w:rPr>
              <w:t xml:space="preserve">% of the shares </w:t>
            </w:r>
            <w:r>
              <w:rPr>
                <w:rFonts w:ascii="Times New Roman" w:eastAsia="Times New Roman" w:hAnsi="Times New Roman" w:cs="Times New Roman"/>
                <w:lang w:bidi="en-US"/>
              </w:rPr>
              <w:br/>
            </w:r>
            <w:proofErr w:type="spellStart"/>
            <w:r>
              <w:rPr>
                <w:rFonts w:ascii="Times New Roman" w:eastAsia="Times New Roman" w:hAnsi="Times New Roman" w:cs="Times New Roman"/>
                <w:lang w:bidi="en-US"/>
              </w:rPr>
              <w:t>Uzmetkombinat</w:t>
            </w:r>
            <w:proofErr w:type="spellEnd"/>
            <w:r>
              <w:rPr>
                <w:rFonts w:ascii="Times New Roman" w:eastAsia="Times New Roman" w:hAnsi="Times New Roman" w:cs="Times New Roman"/>
                <w:lang w:bidi="en-US"/>
              </w:rPr>
              <w:t xml:space="preserve"> JSC</w:t>
            </w:r>
            <w:r w:rsidR="00D15BED">
              <w:rPr>
                <w:rFonts w:ascii="Times New Roman" w:eastAsia="Times New Roman" w:hAnsi="Times New Roman" w:cs="Times New Roman"/>
                <w:lang w:bidi="en-US"/>
              </w:rPr>
              <w:t xml:space="preserve"> and </w:t>
            </w:r>
            <w:r w:rsidR="00D15BED" w:rsidRPr="00D15BED">
              <w:rPr>
                <w:rFonts w:ascii="Times New Roman" w:eastAsia="Times New Roman" w:hAnsi="Times New Roman" w:cs="Times New Roman"/>
                <w:lang w:bidi="en-US"/>
              </w:rPr>
              <w:t>Republic of Uzbekistan Recovery and Development Fund</w:t>
            </w:r>
            <w:r w:rsidR="00D15BED">
              <w:rPr>
                <w:rFonts w:ascii="Times New Roman" w:eastAsia="Times New Roman" w:hAnsi="Times New Roman" w:cs="Times New Roman"/>
                <w:lang w:bidi="en-US"/>
              </w:rPr>
              <w:t xml:space="preserve"> which owns </w:t>
            </w:r>
            <w:r w:rsidR="00DD35A1">
              <w:rPr>
                <w:rFonts w:ascii="Times New Roman" w:eastAsia="Times New Roman" w:hAnsi="Times New Roman" w:cs="Times New Roman"/>
                <w:lang w:bidi="en-US"/>
              </w:rPr>
              <w:t>38,38</w:t>
            </w:r>
            <w:r w:rsidR="00D15BED">
              <w:rPr>
                <w:rFonts w:ascii="Times New Roman" w:eastAsia="Times New Roman" w:hAnsi="Times New Roman" w:cs="Times New Roman"/>
                <w:lang w:bidi="en-US"/>
              </w:rPr>
              <w:t xml:space="preserve">% of the shares </w:t>
            </w:r>
            <w:proofErr w:type="spellStart"/>
            <w:r w:rsidR="00D15BED">
              <w:rPr>
                <w:rFonts w:ascii="Times New Roman" w:eastAsia="Times New Roman" w:hAnsi="Times New Roman" w:cs="Times New Roman"/>
                <w:lang w:bidi="en-US"/>
              </w:rPr>
              <w:t>Uzmetkombinat</w:t>
            </w:r>
            <w:proofErr w:type="spellEnd"/>
            <w:r w:rsidR="00D15BED">
              <w:rPr>
                <w:rFonts w:ascii="Times New Roman" w:eastAsia="Times New Roman" w:hAnsi="Times New Roman" w:cs="Times New Roman"/>
                <w:lang w:bidi="en-US"/>
              </w:rPr>
              <w:t xml:space="preserve"> JSC</w:t>
            </w:r>
            <w:r>
              <w:rPr>
                <w:rFonts w:ascii="Times New Roman" w:eastAsia="Times New Roman" w:hAnsi="Times New Roman" w:cs="Times New Roman"/>
                <w:lang w:bidi="en-US"/>
              </w:rPr>
              <w:t xml:space="preserve"> did not receive any proposed candidates as independent members to the Supervisory Board. </w:t>
            </w:r>
          </w:p>
          <w:p w14:paraId="2A8F5A1D" w14:textId="77777777" w:rsidR="006D7104" w:rsidRPr="00396FD4" w:rsidRDefault="00F83C59" w:rsidP="00396FD4">
            <w:pPr>
              <w:pStyle w:val="a5"/>
              <w:spacing w:after="160"/>
              <w:ind w:left="33" w:firstLine="426"/>
              <w:jc w:val="both"/>
              <w:rPr>
                <w:rFonts w:ascii="Times New Roman" w:hAnsi="Times New Roman" w:cs="Times New Roman"/>
              </w:rPr>
            </w:pPr>
            <w:r>
              <w:rPr>
                <w:rFonts w:ascii="Times New Roman" w:eastAsia="Times New Roman" w:hAnsi="Times New Roman" w:cs="Times New Roman"/>
                <w:lang w:bidi="en-US"/>
              </w:rPr>
              <w:t>In turn, Uzmetkombinat JSC informs that it seeks to achieve compliance with the relevant recommendation of the Code in the future.</w:t>
            </w:r>
          </w:p>
        </w:tc>
      </w:tr>
    </w:tbl>
    <w:p w14:paraId="5FF1D4A5" w14:textId="77777777" w:rsidR="0014603A" w:rsidRPr="0014603A" w:rsidRDefault="0014603A" w:rsidP="00452C5E"/>
    <w:sectPr w:rsidR="0014603A" w:rsidRPr="0014603A" w:rsidSect="00C70160">
      <w:pgSz w:w="16838" w:h="11906" w:orient="landscape"/>
      <w:pgMar w:top="851" w:right="82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73F58"/>
    <w:multiLevelType w:val="hybridMultilevel"/>
    <w:tmpl w:val="0CD25A80"/>
    <w:lvl w:ilvl="0" w:tplc="62C460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5E"/>
    <w:rsid w:val="00076A35"/>
    <w:rsid w:val="0008184B"/>
    <w:rsid w:val="0014603A"/>
    <w:rsid w:val="001A1176"/>
    <w:rsid w:val="002641C9"/>
    <w:rsid w:val="002D3E26"/>
    <w:rsid w:val="002E7782"/>
    <w:rsid w:val="003031CA"/>
    <w:rsid w:val="00373E9A"/>
    <w:rsid w:val="00396FD4"/>
    <w:rsid w:val="00452C5E"/>
    <w:rsid w:val="00561326"/>
    <w:rsid w:val="00581A65"/>
    <w:rsid w:val="005E4EFE"/>
    <w:rsid w:val="0065073F"/>
    <w:rsid w:val="006D7104"/>
    <w:rsid w:val="00716E5C"/>
    <w:rsid w:val="00736CE1"/>
    <w:rsid w:val="00810B41"/>
    <w:rsid w:val="0091251F"/>
    <w:rsid w:val="009B6BD9"/>
    <w:rsid w:val="00A26DE8"/>
    <w:rsid w:val="00A90B19"/>
    <w:rsid w:val="00C15BFF"/>
    <w:rsid w:val="00C70160"/>
    <w:rsid w:val="00D15BED"/>
    <w:rsid w:val="00DD35A1"/>
    <w:rsid w:val="00F8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DC56"/>
  <w15:chartTrackingRefBased/>
  <w15:docId w15:val="{2E3B08F5-4E12-44FB-BE5C-BCC5D2D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603A"/>
    <w:rPr>
      <w:i/>
      <w:iCs/>
    </w:rPr>
  </w:style>
  <w:style w:type="paragraph" w:styleId="a5">
    <w:name w:val="List Paragraph"/>
    <w:basedOn w:val="a"/>
    <w:uiPriority w:val="34"/>
    <w:qFormat/>
    <w:rsid w:val="002E7782"/>
    <w:pPr>
      <w:ind w:left="720"/>
      <w:contextualSpacing/>
    </w:pPr>
  </w:style>
  <w:style w:type="table" w:styleId="a6">
    <w:name w:val="Table Grid"/>
    <w:basedOn w:val="a1"/>
    <w:uiPriority w:val="39"/>
    <w:rsid w:val="00716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040">
      <w:bodyDiv w:val="1"/>
      <w:marLeft w:val="0"/>
      <w:marRight w:val="0"/>
      <w:marTop w:val="0"/>
      <w:marBottom w:val="0"/>
      <w:divBdr>
        <w:top w:val="none" w:sz="0" w:space="0" w:color="auto"/>
        <w:left w:val="none" w:sz="0" w:space="0" w:color="auto"/>
        <w:bottom w:val="none" w:sz="0" w:space="0" w:color="auto"/>
        <w:right w:val="none" w:sz="0" w:space="0" w:color="auto"/>
      </w:divBdr>
    </w:div>
    <w:div w:id="615480375">
      <w:bodyDiv w:val="1"/>
      <w:marLeft w:val="0"/>
      <w:marRight w:val="0"/>
      <w:marTop w:val="0"/>
      <w:marBottom w:val="0"/>
      <w:divBdr>
        <w:top w:val="none" w:sz="0" w:space="0" w:color="auto"/>
        <w:left w:val="none" w:sz="0" w:space="0" w:color="auto"/>
        <w:bottom w:val="none" w:sz="0" w:space="0" w:color="auto"/>
        <w:right w:val="none" w:sz="0" w:space="0" w:color="auto"/>
      </w:divBdr>
      <w:divsChild>
        <w:div w:id="891581165">
          <w:marLeft w:val="0"/>
          <w:marRight w:val="0"/>
          <w:marTop w:val="0"/>
          <w:marBottom w:val="0"/>
          <w:divBdr>
            <w:top w:val="none" w:sz="0" w:space="0" w:color="auto"/>
            <w:left w:val="none" w:sz="0" w:space="0" w:color="auto"/>
            <w:bottom w:val="none" w:sz="0" w:space="0" w:color="auto"/>
            <w:right w:val="none" w:sz="0" w:space="0" w:color="auto"/>
          </w:divBdr>
        </w:div>
      </w:divsChild>
    </w:div>
    <w:div w:id="628633155">
      <w:bodyDiv w:val="1"/>
      <w:marLeft w:val="0"/>
      <w:marRight w:val="0"/>
      <w:marTop w:val="0"/>
      <w:marBottom w:val="0"/>
      <w:divBdr>
        <w:top w:val="none" w:sz="0" w:space="0" w:color="auto"/>
        <w:left w:val="none" w:sz="0" w:space="0" w:color="auto"/>
        <w:bottom w:val="none" w:sz="0" w:space="0" w:color="auto"/>
        <w:right w:val="none" w:sz="0" w:space="0" w:color="auto"/>
      </w:divBdr>
    </w:div>
    <w:div w:id="906694015">
      <w:bodyDiv w:val="1"/>
      <w:marLeft w:val="0"/>
      <w:marRight w:val="0"/>
      <w:marTop w:val="0"/>
      <w:marBottom w:val="0"/>
      <w:divBdr>
        <w:top w:val="none" w:sz="0" w:space="0" w:color="auto"/>
        <w:left w:val="none" w:sz="0" w:space="0" w:color="auto"/>
        <w:bottom w:val="none" w:sz="0" w:space="0" w:color="auto"/>
        <w:right w:val="none" w:sz="0" w:space="0" w:color="auto"/>
      </w:divBdr>
    </w:div>
    <w:div w:id="20693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Саженкова Лола Маликовна</dc:creator>
  <cp:keywords/>
  <dc:description/>
  <cp:lastModifiedBy>Гулмуратова Дилором Батировна</cp:lastModifiedBy>
  <cp:revision>5</cp:revision>
  <dcterms:created xsi:type="dcterms:W3CDTF">2022-08-11T06:52:00Z</dcterms:created>
  <dcterms:modified xsi:type="dcterms:W3CDTF">2024-05-13T07:21:00Z</dcterms:modified>
</cp:coreProperties>
</file>