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C7" w:rsidRDefault="001B2EC7" w:rsidP="00286B42">
      <w:pPr>
        <w:spacing w:after="300" w:line="336" w:lineRule="atLeast"/>
        <w:jc w:val="center"/>
        <w:outlineLvl w:val="2"/>
        <w:rPr>
          <w:rFonts w:ascii="Arial" w:eastAsia="Times New Roman" w:hAnsi="Arial" w:cs="Arial"/>
          <w:b/>
          <w:color w:val="222222"/>
          <w:sz w:val="36"/>
          <w:szCs w:val="36"/>
          <w:lang w:val="en-US" w:eastAsia="ru-RU"/>
        </w:rPr>
      </w:pPr>
      <w:bookmarkStart w:id="0" w:name="_GoBack"/>
      <w:bookmarkEnd w:id="0"/>
      <w:proofErr w:type="spellStart"/>
      <w:r w:rsidRPr="001B2EC7">
        <w:rPr>
          <w:rFonts w:ascii="Arial" w:eastAsia="Times New Roman" w:hAnsi="Arial" w:cs="Arial"/>
          <w:b/>
          <w:color w:val="222222"/>
          <w:sz w:val="36"/>
          <w:szCs w:val="36"/>
          <w:lang w:val="en-US" w:eastAsia="ru-RU"/>
        </w:rPr>
        <w:t>O‘zini</w:t>
      </w:r>
      <w:proofErr w:type="spellEnd"/>
      <w:r w:rsidRPr="001B2EC7">
        <w:rPr>
          <w:rFonts w:ascii="Arial" w:eastAsia="Times New Roman" w:hAnsi="Arial" w:cs="Arial"/>
          <w:b/>
          <w:color w:val="222222"/>
          <w:sz w:val="36"/>
          <w:szCs w:val="36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color w:val="222222"/>
          <w:sz w:val="36"/>
          <w:szCs w:val="36"/>
          <w:lang w:val="en-US" w:eastAsia="ru-RU"/>
        </w:rPr>
        <w:t>o‘zi</w:t>
      </w:r>
      <w:proofErr w:type="spellEnd"/>
      <w:r w:rsidRPr="001B2EC7">
        <w:rPr>
          <w:rFonts w:ascii="Arial" w:eastAsia="Times New Roman" w:hAnsi="Arial" w:cs="Arial"/>
          <w:b/>
          <w:color w:val="222222"/>
          <w:sz w:val="36"/>
          <w:szCs w:val="36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color w:val="222222"/>
          <w:sz w:val="36"/>
          <w:szCs w:val="36"/>
          <w:lang w:val="en-US" w:eastAsia="ru-RU"/>
        </w:rPr>
        <w:t>baholash</w:t>
      </w:r>
      <w:proofErr w:type="spellEnd"/>
      <w:r w:rsidRPr="001B2EC7">
        <w:rPr>
          <w:rFonts w:ascii="Arial" w:eastAsia="Times New Roman" w:hAnsi="Arial" w:cs="Arial"/>
          <w:b/>
          <w:color w:val="222222"/>
          <w:sz w:val="36"/>
          <w:szCs w:val="36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color w:val="222222"/>
          <w:sz w:val="36"/>
          <w:szCs w:val="36"/>
          <w:lang w:val="en-US" w:eastAsia="ru-RU"/>
        </w:rPr>
        <w:t>tartibi</w:t>
      </w:r>
      <w:proofErr w:type="spellEnd"/>
      <w:r w:rsidRPr="001B2EC7">
        <w:rPr>
          <w:rFonts w:ascii="Arial" w:eastAsia="Times New Roman" w:hAnsi="Arial" w:cs="Arial"/>
          <w:b/>
          <w:color w:val="222222"/>
          <w:sz w:val="36"/>
          <w:szCs w:val="36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color w:val="222222"/>
          <w:sz w:val="36"/>
          <w:szCs w:val="36"/>
          <w:lang w:val="en-US" w:eastAsia="ru-RU"/>
        </w:rPr>
        <w:t>to‘g‘risidagi</w:t>
      </w:r>
      <w:proofErr w:type="spellEnd"/>
      <w:r w:rsidRPr="001B2EC7">
        <w:rPr>
          <w:rFonts w:ascii="Arial" w:eastAsia="Times New Roman" w:hAnsi="Arial" w:cs="Arial"/>
          <w:b/>
          <w:color w:val="222222"/>
          <w:sz w:val="36"/>
          <w:szCs w:val="36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color w:val="222222"/>
          <w:sz w:val="36"/>
          <w:szCs w:val="36"/>
          <w:lang w:val="en-US" w:eastAsia="ru-RU"/>
        </w:rPr>
        <w:t>maʼlumotlar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"/>
        <w:gridCol w:w="3807"/>
        <w:gridCol w:w="4858"/>
      </w:tblGrid>
      <w:tr w:rsidR="00286B42" w:rsidTr="00294D78">
        <w:tc>
          <w:tcPr>
            <w:tcW w:w="9345" w:type="dxa"/>
            <w:gridSpan w:val="3"/>
          </w:tcPr>
          <w:p w:rsidR="00ED77F2" w:rsidRDefault="00ED77F2" w:rsidP="00E04280">
            <w:pPr>
              <w:spacing w:line="390" w:lineRule="atLeast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286B42" w:rsidRDefault="00286B42" w:rsidP="00E04280">
            <w:pPr>
              <w:spacing w:line="390" w:lineRule="atLeast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Bugungi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kunda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“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O‘zmetkombinat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”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AJda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ochiqlik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siyosatini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taʼminlash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borasida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aniq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maqsadli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ishlar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olib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borilmoqda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.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Jumladan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kombinatning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hyperlink r:id="rId5" w:history="1">
              <w:r w:rsidRPr="00ED77F2">
                <w:rPr>
                  <w:rStyle w:val="a5"/>
                  <w:rFonts w:ascii="Arial" w:eastAsia="Times New Roman" w:hAnsi="Arial" w:cs="Arial"/>
                  <w:b/>
                  <w:bCs/>
                  <w:sz w:val="24"/>
                  <w:szCs w:val="24"/>
                  <w:bdr w:val="none" w:sz="0" w:space="0" w:color="auto" w:frame="1"/>
                  <w:lang w:val="en-US" w:eastAsia="ru-RU"/>
                </w:rPr>
                <w:t>https://www.uzbeksteel.uz/</w:t>
              </w:r>
            </w:hyperlink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saytida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:</w:t>
            </w:r>
          </w:p>
          <w:p w:rsidR="00ED77F2" w:rsidRPr="00286B42" w:rsidRDefault="00ED77F2" w:rsidP="00E04280">
            <w:pPr>
              <w:spacing w:line="390" w:lineRule="atLeast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</w:p>
        </w:tc>
      </w:tr>
      <w:tr w:rsidR="00E64E71" w:rsidTr="00682FC1">
        <w:trPr>
          <w:trHeight w:val="437"/>
        </w:trPr>
        <w:tc>
          <w:tcPr>
            <w:tcW w:w="680" w:type="dxa"/>
            <w:vAlign w:val="center"/>
          </w:tcPr>
          <w:p w:rsidR="00286B42" w:rsidRPr="001675B7" w:rsidRDefault="00286B42" w:rsidP="001675B7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28"/>
                <w:szCs w:val="36"/>
                <w:lang w:val="en-US" w:eastAsia="ru-RU"/>
              </w:rPr>
            </w:pPr>
            <w:r w:rsidRPr="001675B7">
              <w:rPr>
                <w:rFonts w:ascii="Arial" w:eastAsia="Times New Roman" w:hAnsi="Arial" w:cs="Arial"/>
                <w:b/>
                <w:color w:val="222222"/>
                <w:sz w:val="28"/>
                <w:szCs w:val="36"/>
                <w:lang w:eastAsia="ru-RU"/>
              </w:rPr>
              <w:t>№</w:t>
            </w:r>
          </w:p>
        </w:tc>
        <w:tc>
          <w:tcPr>
            <w:tcW w:w="3807" w:type="dxa"/>
            <w:vAlign w:val="center"/>
          </w:tcPr>
          <w:p w:rsidR="00286B42" w:rsidRPr="001675B7" w:rsidRDefault="00286B42" w:rsidP="001675B7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28"/>
                <w:szCs w:val="36"/>
                <w:lang w:val="en-US" w:eastAsia="ru-RU"/>
              </w:rPr>
            </w:pPr>
            <w:proofErr w:type="spellStart"/>
            <w:r w:rsidRPr="001675B7">
              <w:rPr>
                <w:rFonts w:ascii="Arial" w:eastAsia="Times New Roman" w:hAnsi="Arial" w:cs="Arial"/>
                <w:b/>
                <w:color w:val="222222"/>
                <w:sz w:val="28"/>
                <w:szCs w:val="36"/>
                <w:lang w:val="en-US" w:eastAsia="ru-RU"/>
              </w:rPr>
              <w:t>Bo‘lim</w:t>
            </w:r>
            <w:proofErr w:type="spellEnd"/>
            <w:r w:rsidRPr="001675B7">
              <w:rPr>
                <w:rFonts w:ascii="Arial" w:eastAsia="Times New Roman" w:hAnsi="Arial" w:cs="Arial"/>
                <w:b/>
                <w:color w:val="222222"/>
                <w:sz w:val="28"/>
                <w:szCs w:val="36"/>
                <w:lang w:val="en-US" w:eastAsia="ru-RU"/>
              </w:rPr>
              <w:t xml:space="preserve"> </w:t>
            </w:r>
            <w:proofErr w:type="spellStart"/>
            <w:r w:rsidRPr="001675B7">
              <w:rPr>
                <w:rFonts w:ascii="Arial" w:eastAsia="Times New Roman" w:hAnsi="Arial" w:cs="Arial"/>
                <w:b/>
                <w:color w:val="222222"/>
                <w:sz w:val="28"/>
                <w:szCs w:val="36"/>
                <w:lang w:val="en-US" w:eastAsia="ru-RU"/>
              </w:rPr>
              <w:t>nomi</w:t>
            </w:r>
            <w:proofErr w:type="spellEnd"/>
          </w:p>
        </w:tc>
        <w:tc>
          <w:tcPr>
            <w:tcW w:w="4858" w:type="dxa"/>
            <w:vAlign w:val="center"/>
          </w:tcPr>
          <w:p w:rsidR="00286B42" w:rsidRPr="001675B7" w:rsidRDefault="00286B42" w:rsidP="001675B7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28"/>
                <w:szCs w:val="36"/>
                <w:lang w:val="en-US" w:eastAsia="ru-RU"/>
              </w:rPr>
            </w:pPr>
            <w:proofErr w:type="spellStart"/>
            <w:r w:rsidRPr="001675B7">
              <w:rPr>
                <w:rFonts w:ascii="Arial" w:eastAsia="Times New Roman" w:hAnsi="Arial" w:cs="Arial"/>
                <w:b/>
                <w:color w:val="222222"/>
                <w:sz w:val="28"/>
                <w:szCs w:val="36"/>
                <w:lang w:val="en-US" w:eastAsia="ru-RU"/>
              </w:rPr>
              <w:t>Havolasi</w:t>
            </w:r>
            <w:proofErr w:type="spellEnd"/>
          </w:p>
        </w:tc>
      </w:tr>
      <w:tr w:rsidR="00E64E71" w:rsidTr="00682FC1">
        <w:trPr>
          <w:trHeight w:val="635"/>
        </w:trPr>
        <w:tc>
          <w:tcPr>
            <w:tcW w:w="680" w:type="dxa"/>
            <w:vAlign w:val="center"/>
          </w:tcPr>
          <w:p w:rsidR="00286B42" w:rsidRPr="001675B7" w:rsidRDefault="00286B42" w:rsidP="001675B7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28"/>
                <w:szCs w:val="36"/>
                <w:lang w:val="en-US" w:eastAsia="ru-RU"/>
              </w:rPr>
            </w:pPr>
            <w:r w:rsidRPr="001675B7">
              <w:rPr>
                <w:rFonts w:ascii="Arial" w:eastAsia="Times New Roman" w:hAnsi="Arial" w:cs="Arial"/>
                <w:b/>
                <w:color w:val="222222"/>
                <w:sz w:val="28"/>
                <w:szCs w:val="36"/>
                <w:lang w:val="en-US" w:eastAsia="ru-RU"/>
              </w:rPr>
              <w:t>1</w:t>
            </w:r>
          </w:p>
        </w:tc>
        <w:tc>
          <w:tcPr>
            <w:tcW w:w="3807" w:type="dxa"/>
            <w:vAlign w:val="center"/>
          </w:tcPr>
          <w:p w:rsidR="00286B42" w:rsidRDefault="00DD2BEF" w:rsidP="001675B7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36"/>
                <w:szCs w:val="36"/>
                <w:lang w:val="en-US" w:eastAsia="ru-RU"/>
              </w:rPr>
            </w:pPr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“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Ochiq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maʼlumotlar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”</w:t>
            </w:r>
          </w:p>
        </w:tc>
        <w:tc>
          <w:tcPr>
            <w:tcW w:w="4858" w:type="dxa"/>
            <w:vAlign w:val="center"/>
          </w:tcPr>
          <w:p w:rsidR="00286B42" w:rsidRPr="00E64E71" w:rsidRDefault="00724D2F" w:rsidP="00D47299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24"/>
                <w:szCs w:val="36"/>
                <w:lang w:val="en-US" w:eastAsia="ru-RU"/>
              </w:rPr>
            </w:pPr>
            <w:hyperlink r:id="rId6" w:history="1">
              <w:r w:rsidR="00D47299" w:rsidRPr="00E64E71">
                <w:rPr>
                  <w:rStyle w:val="a5"/>
                  <w:rFonts w:ascii="Arial" w:eastAsia="Times New Roman" w:hAnsi="Arial" w:cs="Arial"/>
                  <w:b/>
                  <w:sz w:val="24"/>
                  <w:szCs w:val="36"/>
                  <w:u w:val="none"/>
                  <w:lang w:val="en-US" w:eastAsia="ru-RU"/>
                </w:rPr>
                <w:t>https://www.uzbeksteel.uz/about/1006</w:t>
              </w:r>
            </w:hyperlink>
          </w:p>
        </w:tc>
      </w:tr>
      <w:tr w:rsidR="00E64E71" w:rsidTr="00682FC1">
        <w:tc>
          <w:tcPr>
            <w:tcW w:w="680" w:type="dxa"/>
            <w:vAlign w:val="center"/>
          </w:tcPr>
          <w:p w:rsidR="00286B42" w:rsidRPr="001675B7" w:rsidRDefault="00286B42" w:rsidP="001675B7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28"/>
                <w:szCs w:val="36"/>
                <w:lang w:val="en-US" w:eastAsia="ru-RU"/>
              </w:rPr>
            </w:pPr>
            <w:r w:rsidRPr="001675B7">
              <w:rPr>
                <w:rFonts w:ascii="Arial" w:eastAsia="Times New Roman" w:hAnsi="Arial" w:cs="Arial"/>
                <w:b/>
                <w:color w:val="222222"/>
                <w:sz w:val="28"/>
                <w:szCs w:val="36"/>
                <w:lang w:val="en-US" w:eastAsia="ru-RU"/>
              </w:rPr>
              <w:t>2</w:t>
            </w:r>
          </w:p>
        </w:tc>
        <w:tc>
          <w:tcPr>
            <w:tcW w:w="3807" w:type="dxa"/>
            <w:vAlign w:val="center"/>
          </w:tcPr>
          <w:p w:rsidR="00286B42" w:rsidRDefault="00DD2BEF" w:rsidP="001675B7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36"/>
                <w:szCs w:val="36"/>
                <w:lang w:val="en-US" w:eastAsia="ru-RU"/>
              </w:rPr>
            </w:pPr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“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Ishonch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telefon</w:t>
            </w:r>
            <w:r w:rsidR="003E1B8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="003E1B8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”</w:t>
            </w:r>
          </w:p>
        </w:tc>
        <w:tc>
          <w:tcPr>
            <w:tcW w:w="4858" w:type="dxa"/>
            <w:vAlign w:val="center"/>
          </w:tcPr>
          <w:p w:rsidR="00286B42" w:rsidRPr="00E64E71" w:rsidRDefault="00724D2F" w:rsidP="003F0203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24"/>
                <w:szCs w:val="36"/>
                <w:lang w:val="en-US" w:eastAsia="ru-RU"/>
              </w:rPr>
            </w:pPr>
            <w:hyperlink r:id="rId7" w:history="1">
              <w:r w:rsidR="003F0203" w:rsidRPr="00E64E71">
                <w:rPr>
                  <w:rStyle w:val="a5"/>
                  <w:rFonts w:ascii="Arial" w:eastAsia="Times New Roman" w:hAnsi="Arial" w:cs="Arial"/>
                  <w:b/>
                  <w:sz w:val="24"/>
                  <w:szCs w:val="36"/>
                  <w:u w:val="none"/>
                  <w:lang w:val="en-US" w:eastAsia="ru-RU"/>
                </w:rPr>
                <w:t>https://www.uzbeksteel.uz/contacts/436</w:t>
              </w:r>
            </w:hyperlink>
          </w:p>
        </w:tc>
      </w:tr>
      <w:tr w:rsidR="00E64E71" w:rsidTr="00682FC1">
        <w:tc>
          <w:tcPr>
            <w:tcW w:w="680" w:type="dxa"/>
            <w:vAlign w:val="center"/>
          </w:tcPr>
          <w:p w:rsidR="00286B42" w:rsidRPr="001675B7" w:rsidRDefault="00286B42" w:rsidP="001675B7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28"/>
                <w:szCs w:val="36"/>
                <w:lang w:val="en-US" w:eastAsia="ru-RU"/>
              </w:rPr>
            </w:pPr>
            <w:r w:rsidRPr="001675B7">
              <w:rPr>
                <w:rFonts w:ascii="Arial" w:eastAsia="Times New Roman" w:hAnsi="Arial" w:cs="Arial"/>
                <w:b/>
                <w:color w:val="222222"/>
                <w:sz w:val="28"/>
                <w:szCs w:val="36"/>
                <w:lang w:val="en-US" w:eastAsia="ru-RU"/>
              </w:rPr>
              <w:t>3</w:t>
            </w:r>
          </w:p>
        </w:tc>
        <w:tc>
          <w:tcPr>
            <w:tcW w:w="3807" w:type="dxa"/>
            <w:vAlign w:val="center"/>
          </w:tcPr>
          <w:p w:rsidR="00286B42" w:rsidRDefault="00DD2BEF" w:rsidP="001675B7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36"/>
                <w:szCs w:val="36"/>
                <w:lang w:val="en-US" w:eastAsia="ru-RU"/>
              </w:rPr>
            </w:pPr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“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Jismoniy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va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yuridik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shaxslar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murojaatlari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”</w:t>
            </w:r>
          </w:p>
        </w:tc>
        <w:tc>
          <w:tcPr>
            <w:tcW w:w="4858" w:type="dxa"/>
            <w:vAlign w:val="center"/>
          </w:tcPr>
          <w:p w:rsidR="00286B42" w:rsidRPr="00E64E71" w:rsidRDefault="00724D2F" w:rsidP="00BD25BF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24"/>
                <w:szCs w:val="36"/>
                <w:lang w:val="en-US" w:eastAsia="ru-RU"/>
              </w:rPr>
            </w:pPr>
            <w:hyperlink r:id="rId8" w:history="1">
              <w:r w:rsidR="00AA2387" w:rsidRPr="00E64E71">
                <w:rPr>
                  <w:rStyle w:val="a5"/>
                  <w:rFonts w:ascii="Arial" w:eastAsia="Times New Roman" w:hAnsi="Arial" w:cs="Arial"/>
                  <w:b/>
                  <w:sz w:val="24"/>
                  <w:szCs w:val="36"/>
                  <w:u w:val="none"/>
                  <w:lang w:val="en-US" w:eastAsia="ru-RU"/>
                </w:rPr>
                <w:t>https://www.uzbeksteel.uz/about/1006</w:t>
              </w:r>
            </w:hyperlink>
          </w:p>
        </w:tc>
      </w:tr>
      <w:tr w:rsidR="00E64E71" w:rsidTr="00682FC1">
        <w:tc>
          <w:tcPr>
            <w:tcW w:w="680" w:type="dxa"/>
            <w:vAlign w:val="center"/>
          </w:tcPr>
          <w:p w:rsidR="00286B42" w:rsidRPr="001675B7" w:rsidRDefault="00286B42" w:rsidP="001675B7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28"/>
                <w:szCs w:val="36"/>
                <w:lang w:val="en-US" w:eastAsia="ru-RU"/>
              </w:rPr>
            </w:pPr>
            <w:r w:rsidRPr="001675B7">
              <w:rPr>
                <w:rFonts w:ascii="Arial" w:eastAsia="Times New Roman" w:hAnsi="Arial" w:cs="Arial"/>
                <w:b/>
                <w:color w:val="222222"/>
                <w:sz w:val="28"/>
                <w:szCs w:val="36"/>
                <w:lang w:val="en-US" w:eastAsia="ru-RU"/>
              </w:rPr>
              <w:t>4</w:t>
            </w:r>
          </w:p>
        </w:tc>
        <w:tc>
          <w:tcPr>
            <w:tcW w:w="3807" w:type="dxa"/>
            <w:vAlign w:val="center"/>
          </w:tcPr>
          <w:p w:rsidR="00286B42" w:rsidRDefault="00DD2BEF" w:rsidP="001675B7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36"/>
                <w:szCs w:val="36"/>
                <w:lang w:val="en-US" w:eastAsia="ru-RU"/>
              </w:rPr>
            </w:pPr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“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Savol-javoblar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”</w:t>
            </w:r>
          </w:p>
        </w:tc>
        <w:tc>
          <w:tcPr>
            <w:tcW w:w="4858" w:type="dxa"/>
            <w:vAlign w:val="center"/>
          </w:tcPr>
          <w:p w:rsidR="00286B42" w:rsidRPr="00E64E71" w:rsidRDefault="00724D2F" w:rsidP="001E4512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24"/>
                <w:szCs w:val="36"/>
                <w:lang w:val="en-US" w:eastAsia="ru-RU"/>
              </w:rPr>
            </w:pPr>
            <w:hyperlink r:id="rId9" w:history="1">
              <w:r w:rsidR="001E4512" w:rsidRPr="00E64E71">
                <w:rPr>
                  <w:rStyle w:val="a5"/>
                  <w:rFonts w:ascii="Arial" w:eastAsia="Times New Roman" w:hAnsi="Arial" w:cs="Arial"/>
                  <w:b/>
                  <w:sz w:val="24"/>
                  <w:szCs w:val="36"/>
                  <w:u w:val="none"/>
                  <w:lang w:val="en-US" w:eastAsia="ru-RU"/>
                </w:rPr>
                <w:t>https://www.uzbeksteel.uz/guestbook</w:t>
              </w:r>
            </w:hyperlink>
          </w:p>
        </w:tc>
      </w:tr>
      <w:tr w:rsidR="00E64E71" w:rsidTr="00682FC1">
        <w:tc>
          <w:tcPr>
            <w:tcW w:w="680" w:type="dxa"/>
            <w:vAlign w:val="center"/>
          </w:tcPr>
          <w:p w:rsidR="00286B42" w:rsidRPr="001675B7" w:rsidRDefault="00286B42" w:rsidP="001675B7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28"/>
                <w:szCs w:val="36"/>
                <w:lang w:val="en-US" w:eastAsia="ru-RU"/>
              </w:rPr>
            </w:pPr>
            <w:r w:rsidRPr="001675B7">
              <w:rPr>
                <w:rFonts w:ascii="Arial" w:eastAsia="Times New Roman" w:hAnsi="Arial" w:cs="Arial"/>
                <w:b/>
                <w:color w:val="222222"/>
                <w:sz w:val="28"/>
                <w:szCs w:val="36"/>
                <w:lang w:val="en-US" w:eastAsia="ru-RU"/>
              </w:rPr>
              <w:t>5</w:t>
            </w:r>
          </w:p>
        </w:tc>
        <w:tc>
          <w:tcPr>
            <w:tcW w:w="3807" w:type="dxa"/>
            <w:vAlign w:val="center"/>
          </w:tcPr>
          <w:p w:rsidR="00286B42" w:rsidRDefault="00DD2BEF" w:rsidP="001675B7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36"/>
                <w:szCs w:val="36"/>
                <w:lang w:val="en-US" w:eastAsia="ru-RU"/>
              </w:rPr>
            </w:pPr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“Biz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bilan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bog‘lanish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”</w:t>
            </w:r>
          </w:p>
        </w:tc>
        <w:tc>
          <w:tcPr>
            <w:tcW w:w="4858" w:type="dxa"/>
            <w:vAlign w:val="center"/>
          </w:tcPr>
          <w:p w:rsidR="00286B42" w:rsidRPr="00E64E71" w:rsidRDefault="00724D2F" w:rsidP="00FA2ED7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24"/>
                <w:szCs w:val="36"/>
                <w:lang w:val="en-US" w:eastAsia="ru-RU"/>
              </w:rPr>
            </w:pPr>
            <w:hyperlink r:id="rId10" w:history="1">
              <w:r w:rsidR="00FA2ED7" w:rsidRPr="00E64E71">
                <w:rPr>
                  <w:rStyle w:val="a5"/>
                  <w:rFonts w:ascii="Arial" w:eastAsia="Times New Roman" w:hAnsi="Arial" w:cs="Arial"/>
                  <w:b/>
                  <w:sz w:val="24"/>
                  <w:szCs w:val="36"/>
                  <w:u w:val="none"/>
                  <w:lang w:val="en-US" w:eastAsia="ru-RU"/>
                </w:rPr>
                <w:t>https://www.uzbeksteel.uz/contacts/435</w:t>
              </w:r>
            </w:hyperlink>
          </w:p>
        </w:tc>
      </w:tr>
      <w:tr w:rsidR="00E64E71" w:rsidTr="00682FC1">
        <w:tc>
          <w:tcPr>
            <w:tcW w:w="680" w:type="dxa"/>
            <w:vAlign w:val="center"/>
          </w:tcPr>
          <w:p w:rsidR="00286B42" w:rsidRPr="001675B7" w:rsidRDefault="00286B42" w:rsidP="001675B7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28"/>
                <w:szCs w:val="36"/>
                <w:lang w:val="en-US" w:eastAsia="ru-RU"/>
              </w:rPr>
            </w:pPr>
            <w:r w:rsidRPr="001675B7">
              <w:rPr>
                <w:rFonts w:ascii="Arial" w:eastAsia="Times New Roman" w:hAnsi="Arial" w:cs="Arial"/>
                <w:b/>
                <w:color w:val="222222"/>
                <w:sz w:val="28"/>
                <w:szCs w:val="36"/>
                <w:lang w:val="en-US" w:eastAsia="ru-RU"/>
              </w:rPr>
              <w:t>6</w:t>
            </w:r>
          </w:p>
        </w:tc>
        <w:tc>
          <w:tcPr>
            <w:tcW w:w="3807" w:type="dxa"/>
            <w:vAlign w:val="center"/>
          </w:tcPr>
          <w:p w:rsidR="00286B42" w:rsidRDefault="00DD2BEF" w:rsidP="001675B7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36"/>
                <w:szCs w:val="36"/>
                <w:lang w:val="en-US" w:eastAsia="ru-RU"/>
              </w:rPr>
            </w:pPr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“Virtual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qabulxona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”</w:t>
            </w:r>
          </w:p>
        </w:tc>
        <w:tc>
          <w:tcPr>
            <w:tcW w:w="4858" w:type="dxa"/>
            <w:vAlign w:val="center"/>
          </w:tcPr>
          <w:p w:rsidR="00286B42" w:rsidRPr="00E64E71" w:rsidRDefault="00724D2F" w:rsidP="007506C3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24"/>
                <w:szCs w:val="36"/>
                <w:lang w:val="en-US" w:eastAsia="ru-RU"/>
              </w:rPr>
            </w:pPr>
            <w:hyperlink r:id="rId11" w:history="1">
              <w:r w:rsidR="007506C3" w:rsidRPr="00E64E71">
                <w:rPr>
                  <w:rStyle w:val="a5"/>
                  <w:rFonts w:ascii="Arial" w:eastAsia="Times New Roman" w:hAnsi="Arial" w:cs="Arial"/>
                  <w:b/>
                  <w:sz w:val="24"/>
                  <w:szCs w:val="36"/>
                  <w:u w:val="none"/>
                  <w:lang w:val="en-US" w:eastAsia="ru-RU"/>
                </w:rPr>
                <w:t>https://pm.gov.uz/uz</w:t>
              </w:r>
            </w:hyperlink>
          </w:p>
        </w:tc>
      </w:tr>
      <w:tr w:rsidR="00682FC1" w:rsidTr="00682FC1">
        <w:tc>
          <w:tcPr>
            <w:tcW w:w="680" w:type="dxa"/>
            <w:vAlign w:val="center"/>
          </w:tcPr>
          <w:p w:rsidR="00DD2BEF" w:rsidRPr="001675B7" w:rsidRDefault="00DD2BEF" w:rsidP="001675B7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28"/>
                <w:szCs w:val="36"/>
                <w:lang w:val="en-US" w:eastAsia="ru-RU"/>
              </w:rPr>
            </w:pPr>
            <w:r w:rsidRPr="001675B7">
              <w:rPr>
                <w:rFonts w:ascii="Arial" w:eastAsia="Times New Roman" w:hAnsi="Arial" w:cs="Arial"/>
                <w:b/>
                <w:color w:val="222222"/>
                <w:sz w:val="28"/>
                <w:szCs w:val="36"/>
                <w:lang w:val="en-US" w:eastAsia="ru-RU"/>
              </w:rPr>
              <w:t>7</w:t>
            </w:r>
          </w:p>
        </w:tc>
        <w:tc>
          <w:tcPr>
            <w:tcW w:w="3807" w:type="dxa"/>
            <w:vAlign w:val="center"/>
          </w:tcPr>
          <w:p w:rsidR="00DD2BEF" w:rsidRPr="001B2EC7" w:rsidRDefault="00DD2BEF" w:rsidP="001675B7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“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Fuqarolarni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qabul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qilish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”</w:t>
            </w:r>
          </w:p>
        </w:tc>
        <w:tc>
          <w:tcPr>
            <w:tcW w:w="4858" w:type="dxa"/>
            <w:vAlign w:val="center"/>
          </w:tcPr>
          <w:p w:rsidR="00DD2BEF" w:rsidRPr="00E64E71" w:rsidRDefault="00724D2F" w:rsidP="004776E4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24"/>
                <w:szCs w:val="36"/>
                <w:lang w:val="en-US" w:eastAsia="ru-RU"/>
              </w:rPr>
            </w:pPr>
            <w:hyperlink r:id="rId12" w:history="1">
              <w:r w:rsidR="004776E4" w:rsidRPr="00E64E71">
                <w:rPr>
                  <w:rStyle w:val="a5"/>
                  <w:rFonts w:ascii="Arial" w:eastAsia="Times New Roman" w:hAnsi="Arial" w:cs="Arial"/>
                  <w:b/>
                  <w:sz w:val="24"/>
                  <w:szCs w:val="36"/>
                  <w:u w:val="none"/>
                  <w:lang w:val="en-US" w:eastAsia="ru-RU"/>
                </w:rPr>
                <w:t>https://www.uzbeksteel.uz/Interfaol-xizmatlar/433</w:t>
              </w:r>
            </w:hyperlink>
          </w:p>
        </w:tc>
      </w:tr>
      <w:tr w:rsidR="00682FC1" w:rsidTr="00682FC1">
        <w:tc>
          <w:tcPr>
            <w:tcW w:w="680" w:type="dxa"/>
            <w:vAlign w:val="center"/>
          </w:tcPr>
          <w:p w:rsidR="00DD2BEF" w:rsidRPr="001675B7" w:rsidRDefault="00DD2BEF" w:rsidP="001675B7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28"/>
                <w:szCs w:val="36"/>
                <w:lang w:val="en-US" w:eastAsia="ru-RU"/>
              </w:rPr>
            </w:pPr>
            <w:r w:rsidRPr="001675B7">
              <w:rPr>
                <w:rFonts w:ascii="Arial" w:eastAsia="Times New Roman" w:hAnsi="Arial" w:cs="Arial"/>
                <w:b/>
                <w:color w:val="222222"/>
                <w:sz w:val="28"/>
                <w:szCs w:val="36"/>
                <w:lang w:val="en-US" w:eastAsia="ru-RU"/>
              </w:rPr>
              <w:t>8</w:t>
            </w:r>
          </w:p>
        </w:tc>
        <w:tc>
          <w:tcPr>
            <w:tcW w:w="3807" w:type="dxa"/>
            <w:vAlign w:val="center"/>
          </w:tcPr>
          <w:p w:rsidR="00DD2BEF" w:rsidRPr="001B2EC7" w:rsidRDefault="00DD2BEF" w:rsidP="001675B7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“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Korrupsiyaga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qarshi</w:t>
            </w:r>
            <w:proofErr w:type="spellEnd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1B2EC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val="en-US" w:eastAsia="ru-RU"/>
              </w:rPr>
              <w:t>kurashish</w:t>
            </w:r>
            <w:proofErr w:type="spellEnd"/>
          </w:p>
        </w:tc>
        <w:tc>
          <w:tcPr>
            <w:tcW w:w="4858" w:type="dxa"/>
            <w:vAlign w:val="center"/>
          </w:tcPr>
          <w:p w:rsidR="00DD2BEF" w:rsidRPr="00E64E71" w:rsidRDefault="00724D2F" w:rsidP="00E64E71">
            <w:pPr>
              <w:spacing w:line="336" w:lineRule="atLeast"/>
              <w:jc w:val="center"/>
              <w:outlineLvl w:val="2"/>
              <w:rPr>
                <w:rFonts w:ascii="Arial" w:eastAsia="Times New Roman" w:hAnsi="Arial" w:cs="Arial"/>
                <w:b/>
                <w:color w:val="222222"/>
                <w:sz w:val="24"/>
                <w:szCs w:val="36"/>
                <w:lang w:val="en-US" w:eastAsia="ru-RU"/>
              </w:rPr>
            </w:pPr>
            <w:hyperlink r:id="rId13" w:history="1">
              <w:r w:rsidR="00E64E71" w:rsidRPr="00E64E71">
                <w:rPr>
                  <w:rStyle w:val="a5"/>
                  <w:rFonts w:ascii="Arial" w:eastAsia="Times New Roman" w:hAnsi="Arial" w:cs="Arial"/>
                  <w:b/>
                  <w:sz w:val="24"/>
                  <w:szCs w:val="36"/>
                  <w:u w:val="none"/>
                  <w:lang w:val="en-US" w:eastAsia="ru-RU"/>
                </w:rPr>
                <w:t>https://www.uzbeksteel.uz/contacts/5666</w:t>
              </w:r>
            </w:hyperlink>
          </w:p>
        </w:tc>
      </w:tr>
    </w:tbl>
    <w:p w:rsidR="00B17343" w:rsidRPr="00682FC1" w:rsidRDefault="00682FC1" w:rsidP="001B2EC7">
      <w:pPr>
        <w:spacing w:after="0" w:line="390" w:lineRule="atLeast"/>
        <w:jc w:val="both"/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</w:pPr>
      <w:proofErr w:type="spellStart"/>
      <w:proofErr w:type="gramStart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>kabi</w:t>
      </w:r>
      <w:proofErr w:type="spellEnd"/>
      <w:proofErr w:type="gramEnd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 xml:space="preserve"> </w:t>
      </w:r>
      <w:proofErr w:type="spellStart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>bo‘limlar</w:t>
      </w:r>
      <w:proofErr w:type="spellEnd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 xml:space="preserve"> </w:t>
      </w:r>
      <w:proofErr w:type="spellStart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>tashkil</w:t>
      </w:r>
      <w:proofErr w:type="spellEnd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 xml:space="preserve"> </w:t>
      </w:r>
      <w:proofErr w:type="spellStart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>etilgan</w:t>
      </w:r>
      <w:proofErr w:type="spellEnd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 xml:space="preserve">. </w:t>
      </w:r>
      <w:proofErr w:type="spellStart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>Ular</w:t>
      </w:r>
      <w:proofErr w:type="spellEnd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 xml:space="preserve"> </w:t>
      </w:r>
      <w:proofErr w:type="spellStart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>orqali</w:t>
      </w:r>
      <w:proofErr w:type="spellEnd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 xml:space="preserve"> </w:t>
      </w:r>
      <w:proofErr w:type="spellStart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>amalga</w:t>
      </w:r>
      <w:proofErr w:type="spellEnd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 xml:space="preserve"> </w:t>
      </w:r>
      <w:proofErr w:type="spellStart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>oshirilayotgan</w:t>
      </w:r>
      <w:proofErr w:type="spellEnd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 xml:space="preserve"> </w:t>
      </w:r>
      <w:proofErr w:type="spellStart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>ishlar</w:t>
      </w:r>
      <w:proofErr w:type="spellEnd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 xml:space="preserve">, </w:t>
      </w:r>
      <w:proofErr w:type="spellStart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>kerakli</w:t>
      </w:r>
      <w:proofErr w:type="spellEnd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 xml:space="preserve"> </w:t>
      </w:r>
      <w:proofErr w:type="spellStart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>maʼlumot</w:t>
      </w:r>
      <w:proofErr w:type="spellEnd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>va</w:t>
      </w:r>
      <w:proofErr w:type="spellEnd"/>
      <w:proofErr w:type="gramEnd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 xml:space="preserve"> </w:t>
      </w:r>
      <w:proofErr w:type="spellStart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>axborotlar</w:t>
      </w:r>
      <w:proofErr w:type="spellEnd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 xml:space="preserve"> </w:t>
      </w:r>
      <w:proofErr w:type="spellStart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>ochiq</w:t>
      </w:r>
      <w:proofErr w:type="spellEnd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 xml:space="preserve"> </w:t>
      </w:r>
      <w:proofErr w:type="spellStart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>eʼlon</w:t>
      </w:r>
      <w:proofErr w:type="spellEnd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 xml:space="preserve"> </w:t>
      </w:r>
      <w:proofErr w:type="spellStart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>qilib</w:t>
      </w:r>
      <w:proofErr w:type="spellEnd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 xml:space="preserve"> </w:t>
      </w:r>
      <w:proofErr w:type="spellStart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>borilmoqda</w:t>
      </w:r>
      <w:proofErr w:type="spellEnd"/>
      <w:r w:rsidRPr="00682FC1">
        <w:rPr>
          <w:rFonts w:ascii="Arial" w:hAnsi="Arial" w:cs="Arial"/>
          <w:b/>
          <w:color w:val="222222"/>
          <w:sz w:val="24"/>
          <w:shd w:val="clear" w:color="auto" w:fill="FFFFFF"/>
          <w:lang w:val="en-US"/>
        </w:rPr>
        <w:t>.</w:t>
      </w:r>
    </w:p>
    <w:p w:rsidR="00682FC1" w:rsidRPr="00682FC1" w:rsidRDefault="00682FC1" w:rsidP="001B2EC7">
      <w:pPr>
        <w:spacing w:after="0" w:line="390" w:lineRule="atLeast"/>
        <w:jc w:val="both"/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</w:pPr>
    </w:p>
    <w:p w:rsidR="001B2EC7" w:rsidRPr="001B2EC7" w:rsidRDefault="001B2EC7" w:rsidP="001B2EC7">
      <w:pPr>
        <w:spacing w:after="0" w:line="3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uz-Latn-UZ" w:eastAsia="ru-RU"/>
        </w:rPr>
      </w:pP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Davlat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organlari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proofErr w:type="gram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va</w:t>
      </w:r>
      <w:proofErr w:type="spellEnd"/>
      <w:proofErr w:type="gram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tashkilotlari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="003E7A80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Matbuot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xizmati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rahbarini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lavozimga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tayinlashni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O</w:t>
      </w:r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‘</w:t>
      </w:r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zbekiston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Respublikasi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Prezidenti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Administratsiyasi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huzuridagi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Axborot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va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ommaviy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kommunikatsiyalar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agentligi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yoki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="003E7A80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unin</w:t>
      </w:r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g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hududiy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boshqarmalari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bilan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kelishish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,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ularni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attestatsiyadan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o</w:t>
      </w:r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‘</w:t>
      </w:r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tkazish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hamda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ish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samaradorligini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baholash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tartibi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proofErr w:type="spellStart"/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to</w:t>
      </w:r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‘</w:t>
      </w:r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g</w:t>
      </w:r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‘</w:t>
      </w:r>
      <w:r w:rsidRPr="001B2EC7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>risidagi</w:t>
      </w:r>
      <w:proofErr w:type="spellEnd"/>
      <w:r w:rsidRPr="00B17343">
        <w:rPr>
          <w:rFonts w:ascii="Arial" w:eastAsia="Times New Roman" w:hAnsi="Arial" w:cs="Arial"/>
          <w:b/>
          <w:bCs/>
          <w:color w:val="FFBC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hyperlink r:id="rId14" w:history="1">
        <w:r w:rsidR="00B17343" w:rsidRPr="00B17343">
          <w:rPr>
            <w:rStyle w:val="a5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val="uz-Latn-UZ" w:eastAsia="ru-RU"/>
          </w:rPr>
          <w:t>NIZOM</w:t>
        </w:r>
      </w:hyperlink>
    </w:p>
    <w:p w:rsidR="000A33B5" w:rsidRPr="00B17343" w:rsidRDefault="000A33B5">
      <w:pPr>
        <w:rPr>
          <w:lang w:val="en-US"/>
        </w:rPr>
      </w:pPr>
    </w:p>
    <w:sectPr w:rsidR="000A33B5" w:rsidRPr="00B1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5C"/>
    <w:rsid w:val="000A33B5"/>
    <w:rsid w:val="001675B7"/>
    <w:rsid w:val="001B2EC7"/>
    <w:rsid w:val="001E4512"/>
    <w:rsid w:val="00286B42"/>
    <w:rsid w:val="003E1B80"/>
    <w:rsid w:val="003E7A80"/>
    <w:rsid w:val="003F0203"/>
    <w:rsid w:val="004776E4"/>
    <w:rsid w:val="004D5D1B"/>
    <w:rsid w:val="0052281C"/>
    <w:rsid w:val="005D1130"/>
    <w:rsid w:val="00682FC1"/>
    <w:rsid w:val="0071161F"/>
    <w:rsid w:val="00724D2F"/>
    <w:rsid w:val="007506C3"/>
    <w:rsid w:val="00AA2387"/>
    <w:rsid w:val="00B17343"/>
    <w:rsid w:val="00B23F5C"/>
    <w:rsid w:val="00BD25BF"/>
    <w:rsid w:val="00D47299"/>
    <w:rsid w:val="00DD2BEF"/>
    <w:rsid w:val="00E04280"/>
    <w:rsid w:val="00E64E71"/>
    <w:rsid w:val="00ED77F2"/>
    <w:rsid w:val="00F30D8A"/>
    <w:rsid w:val="00F41F7B"/>
    <w:rsid w:val="00F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05BF0-38DB-4A1B-821B-79C7E3EB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2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2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EC7"/>
    <w:rPr>
      <w:b/>
      <w:bCs/>
    </w:rPr>
  </w:style>
  <w:style w:type="character" w:styleId="a5">
    <w:name w:val="Hyperlink"/>
    <w:basedOn w:val="a0"/>
    <w:uiPriority w:val="99"/>
    <w:unhideWhenUsed/>
    <w:rsid w:val="001B2EC7"/>
    <w:rPr>
      <w:color w:val="0000FF"/>
      <w:u w:val="single"/>
    </w:rPr>
  </w:style>
  <w:style w:type="table" w:styleId="a6">
    <w:name w:val="Table Grid"/>
    <w:basedOn w:val="a1"/>
    <w:uiPriority w:val="39"/>
    <w:rsid w:val="0028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B17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beksteel.uz/about/1006" TargetMode="External"/><Relationship Id="rId13" Type="http://schemas.openxmlformats.org/officeDocument/2006/relationships/hyperlink" Target="https://www.uzbeksteel.uz/contacts/56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beksteel.uz/contacts/436" TargetMode="External"/><Relationship Id="rId12" Type="http://schemas.openxmlformats.org/officeDocument/2006/relationships/hyperlink" Target="https://www.uzbeksteel.uz/Interfaol-xizmatlar/43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uzbeksteel.uz/about/1006" TargetMode="External"/><Relationship Id="rId11" Type="http://schemas.openxmlformats.org/officeDocument/2006/relationships/hyperlink" Target="https://pm.gov.uz/uz" TargetMode="External"/><Relationship Id="rId5" Type="http://schemas.openxmlformats.org/officeDocument/2006/relationships/hyperlink" Target="https://www.uzbeksteel.uz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zbeksteel.uz/contacts/4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zbeksteel.uz/guestbook" TargetMode="External"/><Relationship Id="rId14" Type="http://schemas.openxmlformats.org/officeDocument/2006/relationships/hyperlink" Target="https://lex.uz/docs/4535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{5792F242-F822-4D89-97B9-5EF6A9A09754}</b:Guid>
    <b:Title>https://lex.uz/docs/4535464</b:Title>
    <b:RefOrder>2</b:RefOrder>
  </b:Source>
  <b:Source>
    <b:Tag>htt1</b:Tag>
    <b:SourceType>InternetSite</b:SourceType>
    <b:Guid>{EE212C33-1B8F-4C7D-B77C-A62C6334ED0E}</b:Guid>
    <b:URL>https://lex.uz/docs/4535464</b:URL>
    <b:RefOrder>3</b:RefOrder>
  </b:Source>
  <b:Source>
    <b:Tag>NIZ</b:Tag>
    <b:SourceType>InternetSite</b:SourceType>
    <b:Guid>{2D7DD04C-1CA8-4DA7-A1DE-C028A35D75CB}</b:Guid>
    <b:Title>NIZOM</b:Title>
    <b:URL>https://lex.uz/docs/4535464</b:URL>
    <b:RefOrder>1</b:RefOrder>
  </b:Source>
</b:Sources>
</file>

<file path=customXml/itemProps1.xml><?xml version="1.0" encoding="utf-8"?>
<ds:datastoreItem xmlns:ds="http://schemas.openxmlformats.org/officeDocument/2006/customXml" ds:itemID="{19003385-0A9F-4466-AE16-0C36752B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SHERALIYEVA SARVINOZ SHUXRAT-QIZI</dc:creator>
  <cp:keywords/>
  <dc:description/>
  <cp:lastModifiedBy>Жумаева Азиза Фозиловна</cp:lastModifiedBy>
  <cp:revision>2</cp:revision>
  <dcterms:created xsi:type="dcterms:W3CDTF">2023-06-22T07:34:00Z</dcterms:created>
  <dcterms:modified xsi:type="dcterms:W3CDTF">2023-06-22T07:34:00Z</dcterms:modified>
</cp:coreProperties>
</file>